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
        <w:rPr>
          <w:rFonts w:ascii="Times New Roman"/>
          <w:sz w:val="15"/>
        </w:rPr>
      </w:pPr>
    </w:p>
    <w:p>
      <w:pPr>
        <w:pStyle w:val="BodyText"/>
        <w:ind w:left="6831"/>
        <w:rPr>
          <w:rFonts w:ascii="Times New Roman"/>
          <w:sz w:val="20"/>
        </w:rPr>
      </w:pPr>
      <w:r>
        <w:rPr>
          <w:rFonts w:ascii="Times New Roman"/>
          <w:sz w:val="20"/>
        </w:rPr>
        <w:drawing>
          <wp:inline distT="0" distB="0" distL="0" distR="0">
            <wp:extent cx="1975426" cy="653796"/>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975426" cy="653796"/>
                    </a:xfrm>
                    <a:prstGeom prst="rect">
                      <a:avLst/>
                    </a:prstGeom>
                  </pic:spPr>
                </pic:pic>
              </a:graphicData>
            </a:graphic>
          </wp:inline>
        </w:drawing>
      </w:r>
      <w:r>
        <w:rPr>
          <w:rFonts w:ascii="Times New Roman"/>
          <w:sz w:val="20"/>
        </w:rPr>
      </w:r>
    </w:p>
    <w:p>
      <w:pPr>
        <w:pStyle w:val="BodyText"/>
        <w:spacing w:before="2"/>
        <w:rPr>
          <w:rFonts w:ascii="Times New Roman"/>
          <w:sz w:val="14"/>
        </w:rPr>
      </w:pPr>
    </w:p>
    <w:p>
      <w:pPr>
        <w:spacing w:before="99"/>
        <w:ind w:left="2821" w:right="0" w:firstLine="0"/>
        <w:jc w:val="left"/>
        <w:rPr>
          <w:sz w:val="28"/>
        </w:rPr>
      </w:pPr>
      <w:r>
        <w:rPr/>
        <w:drawing>
          <wp:anchor distT="0" distB="0" distL="0" distR="0" allowOverlap="1" layoutInCell="1" locked="0" behindDoc="0" simplePos="0" relativeHeight="251660288">
            <wp:simplePos x="0" y="0"/>
            <wp:positionH relativeFrom="page">
              <wp:posOffset>994940</wp:posOffset>
            </wp:positionH>
            <wp:positionV relativeFrom="paragraph">
              <wp:posOffset>-874901</wp:posOffset>
            </wp:positionV>
            <wp:extent cx="1033249" cy="1007109"/>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1033249" cy="1007109"/>
                    </a:xfrm>
                    <a:prstGeom prst="rect">
                      <a:avLst/>
                    </a:prstGeom>
                  </pic:spPr>
                </pic:pic>
              </a:graphicData>
            </a:graphic>
          </wp:anchor>
        </w:drawing>
      </w:r>
      <w:r>
        <w:rPr>
          <w:color w:val="1F497D"/>
          <w:sz w:val="28"/>
        </w:rPr>
        <w:t>COMMUNIQUÉ DE PRESSE</w:t>
      </w:r>
    </w:p>
    <w:p>
      <w:pPr>
        <w:pStyle w:val="BodyText"/>
        <w:spacing w:before="3"/>
        <w:rPr>
          <w:sz w:val="12"/>
        </w:rPr>
      </w:pPr>
      <w:r>
        <w:rPr/>
        <w:pict>
          <v:shape style="position:absolute;margin-left:68.350082pt;margin-top:10.449461pt;width:451.8pt;height:.1pt;mso-position-horizontal-relative:page;mso-position-vertical-relative:paragraph;z-index:-251658240;mso-wrap-distance-left:0;mso-wrap-distance-right:0" coordorigin="1367,209" coordsize="9036,0" path="m1367,209l10403,209e" filled="false" stroked="true" strokeweight="2.0pt" strokecolor="#17375e">
            <v:path arrowok="t"/>
            <v:stroke dashstyle="solid"/>
            <w10:wrap type="topAndBottom"/>
          </v:shape>
        </w:pict>
      </w:r>
    </w:p>
    <w:p>
      <w:pPr>
        <w:spacing w:line="242" w:lineRule="auto" w:before="81"/>
        <w:ind w:left="2210" w:right="940" w:hanging="1947"/>
        <w:jc w:val="left"/>
        <w:rPr>
          <w:b/>
          <w:i/>
          <w:sz w:val="28"/>
        </w:rPr>
      </w:pPr>
      <w:r>
        <w:rPr>
          <w:b/>
          <w:i/>
          <w:color w:val="006699"/>
          <w:sz w:val="28"/>
        </w:rPr>
        <w:t>ALGENTECH OBTIENT UN BREVET STRATEGIQUE AUX ETATS-UNIS POUR UNE </w:t>
      </w:r>
      <w:r>
        <w:rPr>
          <w:b/>
          <w:i/>
          <w:color w:val="006699"/>
          <w:sz w:val="28"/>
        </w:rPr>
        <w:t>TECHNOLOGIE CLE D’EDITION DU GENOME</w:t>
      </w:r>
    </w:p>
    <w:p>
      <w:pPr>
        <w:pStyle w:val="BodyText"/>
        <w:spacing w:before="4"/>
        <w:rPr>
          <w:b/>
          <w:i/>
          <w:sz w:val="37"/>
        </w:rPr>
      </w:pPr>
    </w:p>
    <w:p>
      <w:pPr>
        <w:spacing w:before="0"/>
        <w:ind w:left="156" w:right="0" w:firstLine="0"/>
        <w:jc w:val="both"/>
        <w:rPr>
          <w:rFonts w:ascii="Tahoma"/>
          <w:i/>
          <w:sz w:val="21"/>
        </w:rPr>
      </w:pPr>
      <w:r>
        <w:rPr>
          <w:rFonts w:ascii="Tahoma"/>
          <w:i/>
          <w:sz w:val="21"/>
        </w:rPr>
        <w:t>Evry (Genopole), le 16 janvier 2020</w:t>
      </w:r>
    </w:p>
    <w:p>
      <w:pPr>
        <w:pStyle w:val="BodyText"/>
        <w:rPr>
          <w:rFonts w:ascii="Tahoma"/>
          <w:i/>
          <w:sz w:val="20"/>
        </w:rPr>
      </w:pPr>
    </w:p>
    <w:p>
      <w:pPr>
        <w:pStyle w:val="Heading1"/>
        <w:spacing w:before="0"/>
        <w:ind w:right="844"/>
      </w:pPr>
      <w:r>
        <w:rPr>
          <w:color w:val="006699"/>
        </w:rPr>
        <w:t>ALGENTECH, société de biotechnologies labellisée Genopole, annonce la délivrance d'un brevet clé dans le domaine de l'édition du génome par l'Office des brevets des États-Unis (numéro de brevet américain 10457950). La technologie revendiquée par le brevet amplifie l'efficacité de l'édition génétique</w:t>
      </w:r>
      <w:r>
        <w:rPr>
          <w:color w:val="006699"/>
          <w:spacing w:val="-17"/>
        </w:rPr>
        <w:t> </w:t>
      </w:r>
      <w:r>
        <w:rPr>
          <w:color w:val="006699"/>
        </w:rPr>
        <w:t>dans</w:t>
      </w:r>
      <w:r>
        <w:rPr>
          <w:color w:val="006699"/>
          <w:spacing w:val="-16"/>
        </w:rPr>
        <w:t> </w:t>
      </w:r>
      <w:r>
        <w:rPr>
          <w:color w:val="006699"/>
        </w:rPr>
        <w:t>les</w:t>
      </w:r>
      <w:r>
        <w:rPr>
          <w:color w:val="006699"/>
          <w:spacing w:val="-16"/>
        </w:rPr>
        <w:t> </w:t>
      </w:r>
      <w:r>
        <w:rPr>
          <w:color w:val="006699"/>
        </w:rPr>
        <w:t>cellules</w:t>
      </w:r>
      <w:r>
        <w:rPr>
          <w:color w:val="006699"/>
          <w:spacing w:val="-16"/>
        </w:rPr>
        <w:t> </w:t>
      </w:r>
      <w:r>
        <w:rPr>
          <w:color w:val="006699"/>
        </w:rPr>
        <w:t>eucaryotes.</w:t>
      </w:r>
      <w:r>
        <w:rPr>
          <w:color w:val="006699"/>
          <w:spacing w:val="-16"/>
        </w:rPr>
        <w:t> </w:t>
      </w:r>
      <w:r>
        <w:rPr>
          <w:color w:val="006699"/>
        </w:rPr>
        <w:t>Elle</w:t>
      </w:r>
      <w:r>
        <w:rPr>
          <w:color w:val="006699"/>
          <w:spacing w:val="-16"/>
        </w:rPr>
        <w:t> </w:t>
      </w:r>
      <w:r>
        <w:rPr>
          <w:color w:val="006699"/>
        </w:rPr>
        <w:t>s’applique</w:t>
      </w:r>
      <w:r>
        <w:rPr>
          <w:color w:val="006699"/>
          <w:spacing w:val="-14"/>
        </w:rPr>
        <w:t> </w:t>
      </w:r>
      <w:r>
        <w:rPr>
          <w:color w:val="006699"/>
        </w:rPr>
        <w:t>en</w:t>
      </w:r>
      <w:r>
        <w:rPr>
          <w:color w:val="006699"/>
          <w:spacing w:val="-16"/>
        </w:rPr>
        <w:t> </w:t>
      </w:r>
      <w:r>
        <w:rPr>
          <w:color w:val="006699"/>
        </w:rPr>
        <w:t>synergie</w:t>
      </w:r>
      <w:r>
        <w:rPr>
          <w:color w:val="006699"/>
          <w:spacing w:val="-16"/>
        </w:rPr>
        <w:t> </w:t>
      </w:r>
      <w:r>
        <w:rPr>
          <w:color w:val="006699"/>
        </w:rPr>
        <w:t>avec</w:t>
      </w:r>
      <w:r>
        <w:rPr>
          <w:color w:val="006699"/>
          <w:spacing w:val="-16"/>
        </w:rPr>
        <w:t> </w:t>
      </w:r>
      <w:r>
        <w:rPr>
          <w:color w:val="006699"/>
        </w:rPr>
        <w:t>tous</w:t>
      </w:r>
      <w:r>
        <w:rPr>
          <w:color w:val="006699"/>
          <w:spacing w:val="-16"/>
        </w:rPr>
        <w:t> </w:t>
      </w:r>
      <w:r>
        <w:rPr>
          <w:color w:val="006699"/>
        </w:rPr>
        <w:t>les</w:t>
      </w:r>
      <w:r>
        <w:rPr>
          <w:color w:val="006699"/>
          <w:spacing w:val="-16"/>
        </w:rPr>
        <w:t> </w:t>
      </w:r>
      <w:r>
        <w:rPr>
          <w:color w:val="006699"/>
        </w:rPr>
        <w:t>ciseaux</w:t>
      </w:r>
      <w:r>
        <w:rPr>
          <w:color w:val="006699"/>
          <w:spacing w:val="-16"/>
        </w:rPr>
        <w:t> </w:t>
      </w:r>
      <w:r>
        <w:rPr>
          <w:color w:val="006699"/>
        </w:rPr>
        <w:t>moléculaires, dont les nucléases à doigt de zinc, les TALENs,</w:t>
      </w:r>
      <w:r>
        <w:rPr>
          <w:color w:val="006699"/>
          <w:spacing w:val="-12"/>
        </w:rPr>
        <w:t> </w:t>
      </w:r>
      <w:r>
        <w:rPr>
          <w:color w:val="006699"/>
        </w:rPr>
        <w:t>Crispr-Cas9...</w:t>
      </w:r>
    </w:p>
    <w:p>
      <w:pPr>
        <w:pStyle w:val="BodyText"/>
        <w:spacing w:before="2"/>
        <w:rPr>
          <w:b/>
        </w:rPr>
      </w:pPr>
    </w:p>
    <w:p>
      <w:pPr>
        <w:pStyle w:val="BodyText"/>
        <w:ind w:left="156" w:right="5239"/>
        <w:jc w:val="both"/>
      </w:pPr>
      <w:r>
        <w:rPr/>
        <w:drawing>
          <wp:anchor distT="0" distB="0" distL="0" distR="0" allowOverlap="1" layoutInCell="1" locked="0" behindDoc="0" simplePos="0" relativeHeight="251661312">
            <wp:simplePos x="0" y="0"/>
            <wp:positionH relativeFrom="page">
              <wp:posOffset>3985896</wp:posOffset>
            </wp:positionH>
            <wp:positionV relativeFrom="paragraph">
              <wp:posOffset>70279</wp:posOffset>
            </wp:positionV>
            <wp:extent cx="2691129" cy="1790699"/>
            <wp:effectExtent l="0" t="0" r="0" b="0"/>
            <wp:wrapNone/>
            <wp:docPr id="5" name="image3.jpeg"/>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2691129" cy="1790699"/>
                    </a:xfrm>
                    <a:prstGeom prst="rect">
                      <a:avLst/>
                    </a:prstGeom>
                  </pic:spPr>
                </pic:pic>
              </a:graphicData>
            </a:graphic>
          </wp:anchor>
        </w:drawing>
      </w:r>
      <w:r>
        <w:rPr/>
        <w:t>La technique d’Algentech optimise le mécanisme cellulaire connu sous le nom de recombinaison homologue. Afin d'insérer ou de modifier précisément une séquence génétique, les technologies existantes utilisent des nucléases qui opèrent des cassures spécifiques dans l'ADN cible, puis s'appuient sur la machinerie cellulaire pour compléter le processus d'édition. Le mécanisme est simple : le fragment d’ADN porteur de la modification génétique ou de la séquence à insérer possède</w:t>
      </w:r>
      <w:r>
        <w:rPr>
          <w:spacing w:val="-14"/>
        </w:rPr>
        <w:t> </w:t>
      </w:r>
      <w:r>
        <w:rPr/>
        <w:t>à</w:t>
      </w:r>
      <w:r>
        <w:rPr>
          <w:spacing w:val="-14"/>
        </w:rPr>
        <w:t> </w:t>
      </w:r>
      <w:r>
        <w:rPr/>
        <w:t>ses</w:t>
      </w:r>
      <w:r>
        <w:rPr>
          <w:spacing w:val="-14"/>
        </w:rPr>
        <w:t> </w:t>
      </w:r>
      <w:r>
        <w:rPr/>
        <w:t>extrémités</w:t>
      </w:r>
      <w:r>
        <w:rPr>
          <w:spacing w:val="-14"/>
        </w:rPr>
        <w:t> </w:t>
      </w:r>
      <w:r>
        <w:rPr/>
        <w:t>des</w:t>
      </w:r>
      <w:r>
        <w:rPr>
          <w:spacing w:val="-14"/>
        </w:rPr>
        <w:t> </w:t>
      </w:r>
      <w:r>
        <w:rPr/>
        <w:t>séquences</w:t>
      </w:r>
      <w:r>
        <w:rPr>
          <w:spacing w:val="-14"/>
        </w:rPr>
        <w:t> </w:t>
      </w:r>
      <w:r>
        <w:rPr/>
        <w:t>homologues</w:t>
      </w:r>
    </w:p>
    <w:p>
      <w:pPr>
        <w:pStyle w:val="BodyText"/>
        <w:ind w:left="156" w:right="849"/>
        <w:jc w:val="both"/>
      </w:pPr>
      <w:r>
        <w:rPr/>
        <w:t>du brin d’ADN à modifier (cf. schéma de gauche ci-dessous). Cette similarité située autour du site de coupure</w:t>
      </w:r>
      <w:r>
        <w:rPr>
          <w:spacing w:val="-10"/>
        </w:rPr>
        <w:t> </w:t>
      </w:r>
      <w:r>
        <w:rPr/>
        <w:t>est</w:t>
      </w:r>
      <w:r>
        <w:rPr>
          <w:spacing w:val="-10"/>
        </w:rPr>
        <w:t> </w:t>
      </w:r>
      <w:r>
        <w:rPr/>
        <w:t>reconnue</w:t>
      </w:r>
      <w:r>
        <w:rPr>
          <w:spacing w:val="-10"/>
        </w:rPr>
        <w:t> </w:t>
      </w:r>
      <w:r>
        <w:rPr/>
        <w:t>par</w:t>
      </w:r>
      <w:r>
        <w:rPr>
          <w:spacing w:val="-10"/>
        </w:rPr>
        <w:t> </w:t>
      </w:r>
      <w:r>
        <w:rPr/>
        <w:t>la</w:t>
      </w:r>
      <w:r>
        <w:rPr>
          <w:spacing w:val="-10"/>
        </w:rPr>
        <w:t> </w:t>
      </w:r>
      <w:r>
        <w:rPr/>
        <w:t>machinerie</w:t>
      </w:r>
      <w:r>
        <w:rPr>
          <w:spacing w:val="-10"/>
        </w:rPr>
        <w:t> </w:t>
      </w:r>
      <w:r>
        <w:rPr/>
        <w:t>cellulaire</w:t>
      </w:r>
      <w:r>
        <w:rPr>
          <w:spacing w:val="-9"/>
        </w:rPr>
        <w:t> </w:t>
      </w:r>
      <w:r>
        <w:rPr/>
        <w:t>:</w:t>
      </w:r>
      <w:r>
        <w:rPr>
          <w:spacing w:val="-9"/>
        </w:rPr>
        <w:t> </w:t>
      </w:r>
      <w:r>
        <w:rPr/>
        <w:t>les</w:t>
      </w:r>
      <w:r>
        <w:rPr>
          <w:spacing w:val="-10"/>
        </w:rPr>
        <w:t> </w:t>
      </w:r>
      <w:r>
        <w:rPr/>
        <w:t>brins</w:t>
      </w:r>
      <w:r>
        <w:rPr>
          <w:spacing w:val="-10"/>
        </w:rPr>
        <w:t> </w:t>
      </w:r>
      <w:r>
        <w:rPr/>
        <w:t>s’assemblent</w:t>
      </w:r>
      <w:r>
        <w:rPr>
          <w:spacing w:val="-5"/>
        </w:rPr>
        <w:t> </w:t>
      </w:r>
      <w:r>
        <w:rPr/>
        <w:t>(phénomène</w:t>
      </w:r>
      <w:r>
        <w:rPr>
          <w:spacing w:val="-10"/>
        </w:rPr>
        <w:t> </w:t>
      </w:r>
      <w:r>
        <w:rPr/>
        <w:t>schématisé</w:t>
      </w:r>
      <w:r>
        <w:rPr>
          <w:spacing w:val="-10"/>
        </w:rPr>
        <w:t> </w:t>
      </w:r>
      <w:r>
        <w:rPr/>
        <w:t>par les</w:t>
      </w:r>
      <w:r>
        <w:rPr>
          <w:spacing w:val="-4"/>
        </w:rPr>
        <w:t> </w:t>
      </w:r>
      <w:r>
        <w:rPr/>
        <w:t>croix</w:t>
      </w:r>
      <w:r>
        <w:rPr>
          <w:spacing w:val="-3"/>
        </w:rPr>
        <w:t> </w:t>
      </w:r>
      <w:r>
        <w:rPr/>
        <w:t>bleues).</w:t>
      </w:r>
      <w:r>
        <w:rPr>
          <w:spacing w:val="-3"/>
        </w:rPr>
        <w:t> </w:t>
      </w:r>
      <w:r>
        <w:rPr/>
        <w:t>Le</w:t>
      </w:r>
      <w:r>
        <w:rPr>
          <w:spacing w:val="-3"/>
        </w:rPr>
        <w:t> </w:t>
      </w:r>
      <w:r>
        <w:rPr/>
        <w:t>processus</w:t>
      </w:r>
      <w:r>
        <w:rPr>
          <w:spacing w:val="-3"/>
        </w:rPr>
        <w:t> </w:t>
      </w:r>
      <w:r>
        <w:rPr/>
        <w:t>naturel</w:t>
      </w:r>
      <w:r>
        <w:rPr>
          <w:spacing w:val="-3"/>
        </w:rPr>
        <w:t> </w:t>
      </w:r>
      <w:r>
        <w:rPr/>
        <w:t>de</w:t>
      </w:r>
      <w:r>
        <w:rPr>
          <w:spacing w:val="-3"/>
        </w:rPr>
        <w:t> </w:t>
      </w:r>
      <w:r>
        <w:rPr/>
        <w:t>réparation</w:t>
      </w:r>
      <w:r>
        <w:rPr>
          <w:spacing w:val="-3"/>
        </w:rPr>
        <w:t> </w:t>
      </w:r>
      <w:r>
        <w:rPr/>
        <w:t>de</w:t>
      </w:r>
      <w:r>
        <w:rPr>
          <w:spacing w:val="-3"/>
        </w:rPr>
        <w:t> </w:t>
      </w:r>
      <w:r>
        <w:rPr/>
        <w:t>l’ADN</w:t>
      </w:r>
      <w:r>
        <w:rPr>
          <w:spacing w:val="-3"/>
        </w:rPr>
        <w:t> </w:t>
      </w:r>
      <w:r>
        <w:rPr/>
        <w:t>reconstruit</w:t>
      </w:r>
      <w:r>
        <w:rPr>
          <w:spacing w:val="-4"/>
        </w:rPr>
        <w:t> </w:t>
      </w:r>
      <w:r>
        <w:rPr/>
        <w:t>alors</w:t>
      </w:r>
      <w:r>
        <w:rPr>
          <w:spacing w:val="-3"/>
        </w:rPr>
        <w:t> </w:t>
      </w:r>
      <w:r>
        <w:rPr/>
        <w:t>la</w:t>
      </w:r>
      <w:r>
        <w:rPr>
          <w:spacing w:val="-3"/>
        </w:rPr>
        <w:t> </w:t>
      </w:r>
      <w:r>
        <w:rPr/>
        <w:t>zone</w:t>
      </w:r>
      <w:r>
        <w:rPr>
          <w:spacing w:val="-3"/>
        </w:rPr>
        <w:t> </w:t>
      </w:r>
      <w:r>
        <w:rPr/>
        <w:t>de</w:t>
      </w:r>
      <w:r>
        <w:rPr>
          <w:spacing w:val="-3"/>
        </w:rPr>
        <w:t> </w:t>
      </w:r>
      <w:r>
        <w:rPr/>
        <w:t>coupure,</w:t>
      </w:r>
      <w:r>
        <w:rPr>
          <w:spacing w:val="-3"/>
        </w:rPr>
        <w:t> </w:t>
      </w:r>
      <w:r>
        <w:rPr/>
        <w:t>en utilisant le fragment d’ADN comme matrice, l’insérant ainsi dans l’ADN cible. Cependant, l’efficacité de la réparation par recombinaison homologue reste</w:t>
      </w:r>
      <w:r>
        <w:rPr>
          <w:spacing w:val="-10"/>
        </w:rPr>
        <w:t> </w:t>
      </w:r>
      <w:r>
        <w:rPr/>
        <w:t>faible.</w:t>
      </w:r>
    </w:p>
    <w:p>
      <w:pPr>
        <w:pStyle w:val="BodyText"/>
        <w:spacing w:before="5"/>
        <w:rPr>
          <w:sz w:val="16"/>
        </w:rPr>
      </w:pPr>
      <w:r>
        <w:rPr/>
        <w:drawing>
          <wp:anchor distT="0" distB="0" distL="0" distR="0" allowOverlap="1" layoutInCell="1" locked="0" behindDoc="0" simplePos="0" relativeHeight="1">
            <wp:simplePos x="0" y="0"/>
            <wp:positionH relativeFrom="page">
              <wp:posOffset>1021357</wp:posOffset>
            </wp:positionH>
            <wp:positionV relativeFrom="paragraph">
              <wp:posOffset>152046</wp:posOffset>
            </wp:positionV>
            <wp:extent cx="5744052" cy="2405919"/>
            <wp:effectExtent l="0" t="0" r="0" b="0"/>
            <wp:wrapTopAndBottom/>
            <wp:docPr id="7" name="image4.jpeg"/>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5744052" cy="2405919"/>
                    </a:xfrm>
                    <a:prstGeom prst="rect">
                      <a:avLst/>
                    </a:prstGeom>
                  </pic:spPr>
                </pic:pic>
              </a:graphicData>
            </a:graphic>
          </wp:anchor>
        </w:drawing>
      </w:r>
    </w:p>
    <w:p>
      <w:pPr>
        <w:pStyle w:val="BodyText"/>
        <w:rPr>
          <w:sz w:val="26"/>
        </w:rPr>
      </w:pPr>
    </w:p>
    <w:p>
      <w:pPr>
        <w:pStyle w:val="BodyText"/>
        <w:spacing w:before="9"/>
        <w:rPr>
          <w:sz w:val="23"/>
        </w:rPr>
      </w:pPr>
    </w:p>
    <w:p>
      <w:pPr>
        <w:pStyle w:val="BodyText"/>
        <w:ind w:left="156" w:right="848"/>
        <w:jc w:val="both"/>
      </w:pPr>
      <w:r>
        <w:rPr/>
        <w:t>La technologie développée par Algentech augmente nettement l'efficacité du processus par la production</w:t>
      </w:r>
      <w:r>
        <w:rPr>
          <w:spacing w:val="-16"/>
        </w:rPr>
        <w:t> </w:t>
      </w:r>
      <w:r>
        <w:rPr/>
        <w:t>de</w:t>
      </w:r>
      <w:r>
        <w:rPr>
          <w:spacing w:val="-15"/>
        </w:rPr>
        <w:t> </w:t>
      </w:r>
      <w:r>
        <w:rPr/>
        <w:t>deux</w:t>
      </w:r>
      <w:r>
        <w:rPr>
          <w:spacing w:val="-15"/>
        </w:rPr>
        <w:t> </w:t>
      </w:r>
      <w:r>
        <w:rPr/>
        <w:t>modules</w:t>
      </w:r>
      <w:r>
        <w:rPr>
          <w:spacing w:val="-14"/>
        </w:rPr>
        <w:t> </w:t>
      </w:r>
      <w:r>
        <w:rPr/>
        <w:t>:</w:t>
      </w:r>
      <w:r>
        <w:rPr>
          <w:spacing w:val="-15"/>
        </w:rPr>
        <w:t> </w:t>
      </w:r>
      <w:r>
        <w:rPr/>
        <w:t>(1)</w:t>
      </w:r>
      <w:r>
        <w:rPr>
          <w:spacing w:val="-15"/>
        </w:rPr>
        <w:t> </w:t>
      </w:r>
      <w:r>
        <w:rPr/>
        <w:t>une</w:t>
      </w:r>
      <w:r>
        <w:rPr>
          <w:spacing w:val="-15"/>
        </w:rPr>
        <w:t> </w:t>
      </w:r>
      <w:r>
        <w:rPr/>
        <w:t>protéine</w:t>
      </w:r>
      <w:r>
        <w:rPr>
          <w:spacing w:val="-16"/>
        </w:rPr>
        <w:t> </w:t>
      </w:r>
      <w:r>
        <w:rPr/>
        <w:t>multi-domaines</w:t>
      </w:r>
      <w:r>
        <w:rPr>
          <w:spacing w:val="-15"/>
        </w:rPr>
        <w:t> </w:t>
      </w:r>
      <w:r>
        <w:rPr/>
        <w:t>capable</w:t>
      </w:r>
      <w:r>
        <w:rPr>
          <w:spacing w:val="-15"/>
        </w:rPr>
        <w:t> </w:t>
      </w:r>
      <w:r>
        <w:rPr/>
        <w:t>de</w:t>
      </w:r>
      <w:r>
        <w:rPr>
          <w:spacing w:val="-15"/>
        </w:rPr>
        <w:t> </w:t>
      </w:r>
      <w:r>
        <w:rPr/>
        <w:t>se</w:t>
      </w:r>
      <w:r>
        <w:rPr>
          <w:spacing w:val="-15"/>
        </w:rPr>
        <w:t> </w:t>
      </w:r>
      <w:r>
        <w:rPr/>
        <w:t>lier</w:t>
      </w:r>
      <w:r>
        <w:rPr>
          <w:spacing w:val="-15"/>
        </w:rPr>
        <w:t> </w:t>
      </w:r>
      <w:r>
        <w:rPr/>
        <w:t>au</w:t>
      </w:r>
      <w:r>
        <w:rPr>
          <w:spacing w:val="-15"/>
        </w:rPr>
        <w:t> </w:t>
      </w:r>
      <w:r>
        <w:rPr/>
        <w:t>fragment</w:t>
      </w:r>
      <w:r>
        <w:rPr>
          <w:spacing w:val="-16"/>
        </w:rPr>
        <w:t> </w:t>
      </w:r>
      <w:r>
        <w:rPr/>
        <w:t>à</w:t>
      </w:r>
      <w:r>
        <w:rPr>
          <w:spacing w:val="-15"/>
        </w:rPr>
        <w:t> </w:t>
      </w:r>
      <w:r>
        <w:rPr/>
        <w:t>insérer,</w:t>
      </w:r>
    </w:p>
    <w:p>
      <w:pPr>
        <w:spacing w:after="0"/>
        <w:jc w:val="both"/>
        <w:sectPr>
          <w:type w:val="continuous"/>
          <w:pgSz w:w="11900" w:h="16840"/>
          <w:pgMar w:top="460" w:bottom="280" w:left="1260" w:right="560"/>
        </w:sectPr>
      </w:pPr>
    </w:p>
    <w:p>
      <w:pPr>
        <w:pStyle w:val="BodyText"/>
        <w:spacing w:before="77"/>
        <w:ind w:left="156" w:right="850"/>
        <w:jc w:val="both"/>
      </w:pPr>
      <w:r>
        <w:rPr/>
        <w:t>dit « donneur », et à l'ADN cible, ce qui permet d’augmenter l’efficacité de la recombinaison homologue ciblée </w:t>
      </w:r>
      <w:r>
        <w:rPr>
          <w:i/>
        </w:rPr>
        <w:t>; </w:t>
      </w:r>
      <w:r>
        <w:rPr/>
        <w:t>(2) un vecteur d'amplification de l'ADN donneur qui s’appuie sur le système de réplication des géminivirus. La technique (cf. schéma de droite) produit une grande quantité de brins d'ADN donneurs, multipliant ainsi le nombre de modifications introduites : un saut technologique qui trouve</w:t>
      </w:r>
      <w:r>
        <w:rPr>
          <w:spacing w:val="-8"/>
        </w:rPr>
        <w:t> </w:t>
      </w:r>
      <w:r>
        <w:rPr/>
        <w:t>notamment</w:t>
      </w:r>
      <w:r>
        <w:rPr>
          <w:spacing w:val="-7"/>
        </w:rPr>
        <w:t> </w:t>
      </w:r>
      <w:r>
        <w:rPr/>
        <w:t>des</w:t>
      </w:r>
      <w:r>
        <w:rPr>
          <w:spacing w:val="-7"/>
        </w:rPr>
        <w:t> </w:t>
      </w:r>
      <w:r>
        <w:rPr/>
        <w:t>applications</w:t>
      </w:r>
      <w:r>
        <w:rPr>
          <w:spacing w:val="-8"/>
        </w:rPr>
        <w:t> </w:t>
      </w:r>
      <w:r>
        <w:rPr/>
        <w:t>en</w:t>
      </w:r>
      <w:r>
        <w:rPr>
          <w:spacing w:val="-7"/>
        </w:rPr>
        <w:t> </w:t>
      </w:r>
      <w:r>
        <w:rPr/>
        <w:t>thérapie</w:t>
      </w:r>
      <w:r>
        <w:rPr>
          <w:spacing w:val="-7"/>
        </w:rPr>
        <w:t> </w:t>
      </w:r>
      <w:r>
        <w:rPr/>
        <w:t>génique,</w:t>
      </w:r>
      <w:r>
        <w:rPr>
          <w:spacing w:val="-8"/>
        </w:rPr>
        <w:t> </w:t>
      </w:r>
      <w:r>
        <w:rPr/>
        <w:t>pour</w:t>
      </w:r>
      <w:r>
        <w:rPr>
          <w:spacing w:val="-7"/>
        </w:rPr>
        <w:t> </w:t>
      </w:r>
      <w:r>
        <w:rPr/>
        <w:t>l’amélioration</w:t>
      </w:r>
      <w:r>
        <w:rPr>
          <w:spacing w:val="-7"/>
        </w:rPr>
        <w:t> </w:t>
      </w:r>
      <w:r>
        <w:rPr/>
        <w:t>des</w:t>
      </w:r>
      <w:r>
        <w:rPr>
          <w:spacing w:val="-8"/>
        </w:rPr>
        <w:t> </w:t>
      </w:r>
      <w:r>
        <w:rPr/>
        <w:t>espèces</w:t>
      </w:r>
      <w:r>
        <w:rPr>
          <w:spacing w:val="-7"/>
        </w:rPr>
        <w:t> </w:t>
      </w:r>
      <w:r>
        <w:rPr/>
        <w:t>cultivées</w:t>
      </w:r>
      <w:r>
        <w:rPr>
          <w:spacing w:val="-7"/>
        </w:rPr>
        <w:t> </w:t>
      </w:r>
      <w:r>
        <w:rPr/>
        <w:t>ou encore</w:t>
      </w:r>
      <w:r>
        <w:rPr>
          <w:spacing w:val="-7"/>
        </w:rPr>
        <w:t> </w:t>
      </w:r>
      <w:r>
        <w:rPr/>
        <w:t>en</w:t>
      </w:r>
      <w:r>
        <w:rPr>
          <w:spacing w:val="-6"/>
        </w:rPr>
        <w:t> </w:t>
      </w:r>
      <w:r>
        <w:rPr/>
        <w:t>biologie</w:t>
      </w:r>
      <w:r>
        <w:rPr>
          <w:spacing w:val="-7"/>
        </w:rPr>
        <w:t> </w:t>
      </w:r>
      <w:r>
        <w:rPr/>
        <w:t>de</w:t>
      </w:r>
      <w:r>
        <w:rPr>
          <w:spacing w:val="-7"/>
        </w:rPr>
        <w:t> </w:t>
      </w:r>
      <w:r>
        <w:rPr/>
        <w:t>synthèse.</w:t>
      </w:r>
      <w:r>
        <w:rPr>
          <w:spacing w:val="-6"/>
        </w:rPr>
        <w:t> </w:t>
      </w:r>
      <w:r>
        <w:rPr/>
        <w:t>On</w:t>
      </w:r>
      <w:r>
        <w:rPr>
          <w:spacing w:val="-7"/>
        </w:rPr>
        <w:t> </w:t>
      </w:r>
      <w:r>
        <w:rPr/>
        <w:t>est</w:t>
      </w:r>
      <w:r>
        <w:rPr>
          <w:spacing w:val="-7"/>
        </w:rPr>
        <w:t> </w:t>
      </w:r>
      <w:r>
        <w:rPr/>
        <w:t>capable</w:t>
      </w:r>
      <w:r>
        <w:rPr>
          <w:spacing w:val="-7"/>
        </w:rPr>
        <w:t> </w:t>
      </w:r>
      <w:r>
        <w:rPr/>
        <w:t>ainsi</w:t>
      </w:r>
      <w:r>
        <w:rPr>
          <w:spacing w:val="-6"/>
        </w:rPr>
        <w:t> </w:t>
      </w:r>
      <w:r>
        <w:rPr/>
        <w:t>de</w:t>
      </w:r>
      <w:r>
        <w:rPr>
          <w:spacing w:val="-7"/>
        </w:rPr>
        <w:t> </w:t>
      </w:r>
      <w:r>
        <w:rPr/>
        <w:t>corriger</w:t>
      </w:r>
      <w:r>
        <w:rPr>
          <w:spacing w:val="-6"/>
        </w:rPr>
        <w:t> </w:t>
      </w:r>
      <w:r>
        <w:rPr/>
        <w:t>des</w:t>
      </w:r>
      <w:r>
        <w:rPr>
          <w:spacing w:val="-7"/>
        </w:rPr>
        <w:t> </w:t>
      </w:r>
      <w:r>
        <w:rPr/>
        <w:t>mutations</w:t>
      </w:r>
      <w:r>
        <w:rPr>
          <w:spacing w:val="-7"/>
        </w:rPr>
        <w:t> </w:t>
      </w:r>
      <w:r>
        <w:rPr/>
        <w:t>qui</w:t>
      </w:r>
      <w:r>
        <w:rPr>
          <w:spacing w:val="-6"/>
        </w:rPr>
        <w:t> </w:t>
      </w:r>
      <w:r>
        <w:rPr/>
        <w:t>ont</w:t>
      </w:r>
      <w:r>
        <w:rPr>
          <w:spacing w:val="-7"/>
        </w:rPr>
        <w:t> </w:t>
      </w:r>
      <w:r>
        <w:rPr/>
        <w:t>un</w:t>
      </w:r>
      <w:r>
        <w:rPr>
          <w:spacing w:val="-7"/>
        </w:rPr>
        <w:t> </w:t>
      </w:r>
      <w:r>
        <w:rPr/>
        <w:t>effet</w:t>
      </w:r>
      <w:r>
        <w:rPr>
          <w:spacing w:val="-7"/>
        </w:rPr>
        <w:t> </w:t>
      </w:r>
      <w:r>
        <w:rPr/>
        <w:t>négatif sur</w:t>
      </w:r>
      <w:r>
        <w:rPr>
          <w:spacing w:val="-4"/>
        </w:rPr>
        <w:t> </w:t>
      </w:r>
      <w:r>
        <w:rPr/>
        <w:t>l’organisme</w:t>
      </w:r>
      <w:r>
        <w:rPr>
          <w:spacing w:val="-3"/>
        </w:rPr>
        <w:t> </w:t>
      </w:r>
      <w:r>
        <w:rPr/>
        <w:t>et</w:t>
      </w:r>
      <w:r>
        <w:rPr>
          <w:spacing w:val="-4"/>
        </w:rPr>
        <w:t> </w:t>
      </w:r>
      <w:r>
        <w:rPr/>
        <w:t>modifier</w:t>
      </w:r>
      <w:r>
        <w:rPr>
          <w:spacing w:val="-3"/>
        </w:rPr>
        <w:t> </w:t>
      </w:r>
      <w:r>
        <w:rPr/>
        <w:t>de</w:t>
      </w:r>
      <w:r>
        <w:rPr>
          <w:spacing w:val="-3"/>
        </w:rPr>
        <w:t> </w:t>
      </w:r>
      <w:r>
        <w:rPr/>
        <w:t>manière</w:t>
      </w:r>
      <w:r>
        <w:rPr>
          <w:spacing w:val="-4"/>
        </w:rPr>
        <w:t> </w:t>
      </w:r>
      <w:r>
        <w:rPr/>
        <w:t>très</w:t>
      </w:r>
      <w:r>
        <w:rPr>
          <w:spacing w:val="-3"/>
        </w:rPr>
        <w:t> </w:t>
      </w:r>
      <w:r>
        <w:rPr/>
        <w:t>précise</w:t>
      </w:r>
      <w:r>
        <w:rPr>
          <w:spacing w:val="-5"/>
        </w:rPr>
        <w:t> </w:t>
      </w:r>
      <w:r>
        <w:rPr/>
        <w:t>le</w:t>
      </w:r>
      <w:r>
        <w:rPr>
          <w:spacing w:val="-4"/>
        </w:rPr>
        <w:t> </w:t>
      </w:r>
      <w:r>
        <w:rPr/>
        <w:t>génome</w:t>
      </w:r>
      <w:r>
        <w:rPr>
          <w:spacing w:val="-3"/>
        </w:rPr>
        <w:t> </w:t>
      </w:r>
      <w:r>
        <w:rPr/>
        <w:t>végétal,</w:t>
      </w:r>
      <w:r>
        <w:rPr>
          <w:spacing w:val="-3"/>
        </w:rPr>
        <w:t> </w:t>
      </w:r>
      <w:r>
        <w:rPr/>
        <w:t>par</w:t>
      </w:r>
      <w:r>
        <w:rPr>
          <w:spacing w:val="-4"/>
        </w:rPr>
        <w:t> </w:t>
      </w:r>
      <w:r>
        <w:rPr/>
        <w:t>exemple</w:t>
      </w:r>
      <w:r>
        <w:rPr>
          <w:spacing w:val="-2"/>
        </w:rPr>
        <w:t> </w:t>
      </w:r>
      <w:r>
        <w:rPr/>
        <w:t>pour</w:t>
      </w:r>
      <w:r>
        <w:rPr>
          <w:spacing w:val="-3"/>
        </w:rPr>
        <w:t> </w:t>
      </w:r>
      <w:r>
        <w:rPr/>
        <w:t>améliorer</w:t>
      </w:r>
      <w:r>
        <w:rPr>
          <w:spacing w:val="-4"/>
        </w:rPr>
        <w:t> </w:t>
      </w:r>
      <w:r>
        <w:rPr/>
        <w:t>la qualité</w:t>
      </w:r>
      <w:r>
        <w:rPr>
          <w:spacing w:val="-4"/>
        </w:rPr>
        <w:t> </w:t>
      </w:r>
      <w:r>
        <w:rPr/>
        <w:t>nutritionnelle</w:t>
      </w:r>
      <w:r>
        <w:rPr>
          <w:spacing w:val="-4"/>
        </w:rPr>
        <w:t> </w:t>
      </w:r>
      <w:r>
        <w:rPr/>
        <w:t>et</w:t>
      </w:r>
      <w:r>
        <w:rPr>
          <w:spacing w:val="-4"/>
        </w:rPr>
        <w:t> </w:t>
      </w:r>
      <w:r>
        <w:rPr/>
        <w:t>la</w:t>
      </w:r>
      <w:r>
        <w:rPr>
          <w:spacing w:val="-4"/>
        </w:rPr>
        <w:t> </w:t>
      </w:r>
      <w:r>
        <w:rPr/>
        <w:t>résistance</w:t>
      </w:r>
      <w:r>
        <w:rPr>
          <w:spacing w:val="-3"/>
        </w:rPr>
        <w:t> </w:t>
      </w:r>
      <w:r>
        <w:rPr/>
        <w:t>aux</w:t>
      </w:r>
      <w:r>
        <w:rPr>
          <w:spacing w:val="-4"/>
        </w:rPr>
        <w:t> </w:t>
      </w:r>
      <w:r>
        <w:rPr/>
        <w:t>changements</w:t>
      </w:r>
      <w:r>
        <w:rPr>
          <w:spacing w:val="-4"/>
        </w:rPr>
        <w:t> </w:t>
      </w:r>
      <w:r>
        <w:rPr/>
        <w:t>climatiques</w:t>
      </w:r>
      <w:r>
        <w:rPr>
          <w:spacing w:val="-4"/>
        </w:rPr>
        <w:t> </w:t>
      </w:r>
      <w:r>
        <w:rPr/>
        <w:t>sans</w:t>
      </w:r>
      <w:r>
        <w:rPr>
          <w:spacing w:val="-3"/>
        </w:rPr>
        <w:t> </w:t>
      </w:r>
      <w:r>
        <w:rPr/>
        <w:t>insertion</w:t>
      </w:r>
      <w:r>
        <w:rPr>
          <w:spacing w:val="-4"/>
        </w:rPr>
        <w:t> </w:t>
      </w:r>
      <w:r>
        <w:rPr/>
        <w:t>de</w:t>
      </w:r>
      <w:r>
        <w:rPr>
          <w:spacing w:val="-4"/>
        </w:rPr>
        <w:t> </w:t>
      </w:r>
      <w:r>
        <w:rPr/>
        <w:t>gène</w:t>
      </w:r>
      <w:r>
        <w:rPr>
          <w:spacing w:val="-4"/>
        </w:rPr>
        <w:t> </w:t>
      </w:r>
      <w:r>
        <w:rPr/>
        <w:t>étranger.</w:t>
      </w:r>
    </w:p>
    <w:p>
      <w:pPr>
        <w:pStyle w:val="BodyText"/>
        <w:spacing w:before="2"/>
      </w:pPr>
    </w:p>
    <w:p>
      <w:pPr>
        <w:pStyle w:val="BodyText"/>
        <w:spacing w:before="1"/>
        <w:ind w:left="156" w:right="846"/>
        <w:jc w:val="both"/>
      </w:pPr>
      <w:r>
        <w:rPr/>
        <w:t>Créée à Genopole en 2009, Algentech est une des rares sociétés en Europe à développer des technologies d’édition du génome. Son portefeuille de brevets comprend sept familles de brevets propriétaires protégeant ses technologies de rupture d’édition des génomes. Ce brevet fondateur, délivré</w:t>
      </w:r>
      <w:r>
        <w:rPr>
          <w:spacing w:val="-15"/>
        </w:rPr>
        <w:t> </w:t>
      </w:r>
      <w:r>
        <w:rPr/>
        <w:t>à</w:t>
      </w:r>
      <w:r>
        <w:rPr>
          <w:spacing w:val="-15"/>
        </w:rPr>
        <w:t> </w:t>
      </w:r>
      <w:r>
        <w:rPr/>
        <w:t>Algentech</w:t>
      </w:r>
      <w:r>
        <w:rPr>
          <w:spacing w:val="-16"/>
        </w:rPr>
        <w:t> </w:t>
      </w:r>
      <w:r>
        <w:rPr/>
        <w:t>en</w:t>
      </w:r>
      <w:r>
        <w:rPr>
          <w:spacing w:val="-15"/>
        </w:rPr>
        <w:t> </w:t>
      </w:r>
      <w:r>
        <w:rPr/>
        <w:t>Europe</w:t>
      </w:r>
      <w:r>
        <w:rPr>
          <w:spacing w:val="-15"/>
        </w:rPr>
        <w:t> </w:t>
      </w:r>
      <w:r>
        <w:rPr/>
        <w:t>et</w:t>
      </w:r>
      <w:r>
        <w:rPr>
          <w:spacing w:val="-15"/>
        </w:rPr>
        <w:t> </w:t>
      </w:r>
      <w:r>
        <w:rPr/>
        <w:t>maintenant</w:t>
      </w:r>
      <w:r>
        <w:rPr>
          <w:spacing w:val="-15"/>
        </w:rPr>
        <w:t> </w:t>
      </w:r>
      <w:r>
        <w:rPr/>
        <w:t>aux</w:t>
      </w:r>
      <w:r>
        <w:rPr>
          <w:spacing w:val="-15"/>
        </w:rPr>
        <w:t> </w:t>
      </w:r>
      <w:r>
        <w:rPr/>
        <w:t>Etats</w:t>
      </w:r>
      <w:r>
        <w:rPr>
          <w:spacing w:val="-15"/>
        </w:rPr>
        <w:t> </w:t>
      </w:r>
      <w:r>
        <w:rPr/>
        <w:t>Unis,</w:t>
      </w:r>
      <w:r>
        <w:rPr>
          <w:spacing w:val="-15"/>
        </w:rPr>
        <w:t> </w:t>
      </w:r>
      <w:r>
        <w:rPr/>
        <w:t>contribue</w:t>
      </w:r>
      <w:r>
        <w:rPr>
          <w:spacing w:val="-15"/>
        </w:rPr>
        <w:t> </w:t>
      </w:r>
      <w:r>
        <w:rPr/>
        <w:t>à</w:t>
      </w:r>
      <w:r>
        <w:rPr>
          <w:spacing w:val="-15"/>
        </w:rPr>
        <w:t> </w:t>
      </w:r>
      <w:r>
        <w:rPr/>
        <w:t>positionner</w:t>
      </w:r>
      <w:r>
        <w:rPr>
          <w:spacing w:val="-15"/>
        </w:rPr>
        <w:t> </w:t>
      </w:r>
      <w:r>
        <w:rPr/>
        <w:t>la</w:t>
      </w:r>
      <w:r>
        <w:rPr>
          <w:spacing w:val="-15"/>
        </w:rPr>
        <w:t> </w:t>
      </w:r>
      <w:r>
        <w:rPr/>
        <w:t>France</w:t>
      </w:r>
      <w:r>
        <w:rPr>
          <w:spacing w:val="-15"/>
        </w:rPr>
        <w:t> </w:t>
      </w:r>
      <w:r>
        <w:rPr/>
        <w:t>en</w:t>
      </w:r>
      <w:r>
        <w:rPr>
          <w:spacing w:val="-15"/>
        </w:rPr>
        <w:t> </w:t>
      </w:r>
      <w:r>
        <w:rPr/>
        <w:t>acteur notable de ce domaine. Détenir des outils innovants d’édition génétique participe à l’indépendance technologique nationale nécessaire pour s’engager sur la voie de la bioéconomie, créatrice de valeur, et pourrait aussi apporter des solutions aux grands défis sociétaux dans les domaines de l’environnement, de l’énergie et de la production</w:t>
      </w:r>
      <w:r>
        <w:rPr>
          <w:spacing w:val="-10"/>
        </w:rPr>
        <w:t> </w:t>
      </w:r>
      <w:r>
        <w:rPr/>
        <w:t>agricole.</w:t>
      </w:r>
    </w:p>
    <w:p>
      <w:pPr>
        <w:pStyle w:val="BodyText"/>
        <w:spacing w:before="9"/>
        <w:rPr>
          <w:sz w:val="21"/>
        </w:rPr>
      </w:pPr>
    </w:p>
    <w:p>
      <w:pPr>
        <w:spacing w:before="0"/>
        <w:ind w:left="156" w:right="841" w:firstLine="0"/>
        <w:jc w:val="both"/>
        <w:rPr>
          <w:sz w:val="22"/>
        </w:rPr>
      </w:pPr>
      <w:r>
        <w:rPr>
          <w:sz w:val="22"/>
        </w:rPr>
        <w:t>« </w:t>
      </w:r>
      <w:r>
        <w:rPr>
          <w:i/>
          <w:sz w:val="22"/>
        </w:rPr>
        <w:t>La délivrance de ce brevet aux Etats-Unis dans le domaine de l’édition du génome nucléaire est une </w:t>
      </w:r>
      <w:r>
        <w:rPr>
          <w:i/>
          <w:sz w:val="22"/>
        </w:rPr>
        <w:t>étape majeure dans notre stratégie et renforce notre portefeuille de propriété intellectuelle dans un secteur qui a révolutionné la génomique ces dernières années </w:t>
      </w:r>
      <w:r>
        <w:rPr>
          <w:sz w:val="22"/>
        </w:rPr>
        <w:t>», déclare Alexander Sorokin, président d’Algentech.</w:t>
      </w:r>
    </w:p>
    <w:p>
      <w:pPr>
        <w:pStyle w:val="BodyText"/>
        <w:rPr>
          <w:sz w:val="26"/>
        </w:rPr>
      </w:pPr>
    </w:p>
    <w:p>
      <w:pPr>
        <w:pStyle w:val="BodyText"/>
        <w:spacing w:before="173"/>
        <w:ind w:left="156"/>
        <w:jc w:val="both"/>
      </w:pPr>
      <w:r>
        <w:rPr>
          <w:color w:val="006699"/>
        </w:rPr>
        <w:t>Contact presse Genopole : Véronique Le Boulc’h – </w:t>
      </w:r>
      <w:hyperlink r:id="rId9">
        <w:r>
          <w:rPr>
            <w:color w:val="006699"/>
            <w:u w:val="single" w:color="006699"/>
          </w:rPr>
          <w:t>veronique.leboulch@genopole.fr</w:t>
        </w:r>
        <w:r>
          <w:rPr>
            <w:color w:val="006699"/>
          </w:rPr>
          <w:t> </w:t>
        </w:r>
      </w:hyperlink>
      <w:r>
        <w:rPr>
          <w:color w:val="006699"/>
        </w:rPr>
        <w:t>- 01 60 87 44 98</w:t>
      </w:r>
    </w:p>
    <w:p>
      <w:pPr>
        <w:pStyle w:val="BodyText"/>
        <w:spacing w:before="3"/>
        <w:rPr>
          <w:sz w:val="16"/>
        </w:rPr>
      </w:pPr>
      <w:r>
        <w:rPr/>
        <w:pict>
          <v:shape style="position:absolute;margin-left:69pt;margin-top:12.89122pt;width:461pt;height:.1pt;mso-position-horizontal-relative:page;mso-position-vertical-relative:paragraph;z-index:-251654144;mso-wrap-distance-left:0;mso-wrap-distance-right:0" coordorigin="1380,258" coordsize="9220,0" path="m1380,258l10600,258e" filled="false" stroked="true" strokeweight="2.0pt" strokecolor="#17375e">
            <v:path arrowok="t"/>
            <v:stroke dashstyle="solid"/>
            <w10:wrap type="topAndBottom"/>
          </v:shape>
        </w:pict>
      </w:r>
    </w:p>
    <w:p>
      <w:pPr>
        <w:pStyle w:val="BodyText"/>
        <w:spacing w:before="8"/>
        <w:rPr>
          <w:sz w:val="23"/>
        </w:rPr>
      </w:pPr>
    </w:p>
    <w:p>
      <w:pPr>
        <w:spacing w:before="101"/>
        <w:ind w:left="156" w:right="0" w:firstLine="0"/>
        <w:jc w:val="both"/>
        <w:rPr>
          <w:b/>
          <w:sz w:val="22"/>
        </w:rPr>
      </w:pPr>
      <w:r>
        <w:rPr>
          <w:b/>
          <w:color w:val="006699"/>
          <w:sz w:val="22"/>
          <w:u w:val="single" w:color="006699"/>
        </w:rPr>
        <w:t>A propos de ALGENTECH</w:t>
      </w:r>
    </w:p>
    <w:p>
      <w:pPr>
        <w:pStyle w:val="BodyText"/>
        <w:ind w:left="156" w:right="848"/>
        <w:jc w:val="both"/>
      </w:pPr>
      <w:r>
        <w:rPr/>
        <w:t>ALGENTECH</w:t>
      </w:r>
      <w:r>
        <w:rPr>
          <w:spacing w:val="-15"/>
        </w:rPr>
        <w:t> </w:t>
      </w:r>
      <w:r>
        <w:rPr/>
        <w:t>a</w:t>
      </w:r>
      <w:r>
        <w:rPr>
          <w:spacing w:val="-14"/>
        </w:rPr>
        <w:t> </w:t>
      </w:r>
      <w:r>
        <w:rPr/>
        <w:t>développé</w:t>
      </w:r>
      <w:r>
        <w:rPr>
          <w:spacing w:val="-14"/>
        </w:rPr>
        <w:t> </w:t>
      </w:r>
      <w:r>
        <w:rPr/>
        <w:t>des</w:t>
      </w:r>
      <w:r>
        <w:rPr>
          <w:spacing w:val="-15"/>
        </w:rPr>
        <w:t> </w:t>
      </w:r>
      <w:r>
        <w:rPr/>
        <w:t>outils</w:t>
      </w:r>
      <w:r>
        <w:rPr>
          <w:spacing w:val="-14"/>
        </w:rPr>
        <w:t> </w:t>
      </w:r>
      <w:r>
        <w:rPr/>
        <w:t>moléculaires</w:t>
      </w:r>
      <w:r>
        <w:rPr>
          <w:spacing w:val="-14"/>
        </w:rPr>
        <w:t> </w:t>
      </w:r>
      <w:r>
        <w:rPr/>
        <w:t>exclusifs</w:t>
      </w:r>
      <w:r>
        <w:rPr>
          <w:spacing w:val="-16"/>
        </w:rPr>
        <w:t> </w:t>
      </w:r>
      <w:r>
        <w:rPr/>
        <w:t>d’édition</w:t>
      </w:r>
      <w:r>
        <w:rPr>
          <w:spacing w:val="-14"/>
        </w:rPr>
        <w:t> </w:t>
      </w:r>
      <w:r>
        <w:rPr/>
        <w:t>du</w:t>
      </w:r>
      <w:r>
        <w:rPr>
          <w:spacing w:val="-14"/>
        </w:rPr>
        <w:t> </w:t>
      </w:r>
      <w:r>
        <w:rPr/>
        <w:t>génome</w:t>
      </w:r>
      <w:r>
        <w:rPr>
          <w:spacing w:val="-15"/>
        </w:rPr>
        <w:t> </w:t>
      </w:r>
      <w:r>
        <w:rPr/>
        <w:t>des</w:t>
      </w:r>
      <w:r>
        <w:rPr>
          <w:spacing w:val="-14"/>
        </w:rPr>
        <w:t> </w:t>
      </w:r>
      <w:r>
        <w:rPr/>
        <w:t>cellules</w:t>
      </w:r>
      <w:r>
        <w:rPr>
          <w:spacing w:val="-14"/>
        </w:rPr>
        <w:t> </w:t>
      </w:r>
      <w:r>
        <w:rPr/>
        <w:t>eucaryotes. En plus de nouvelles méthodes d'édition du génome nucléaire, ALGENTECH est un pionnier dans la transformation du génome mitochondrial et le développement de molécules auto-réplicatives pour l'expression multigénique dans les chloroplastes avec de vastes domaines d’application notamment en biologie de</w:t>
      </w:r>
      <w:r>
        <w:rPr>
          <w:spacing w:val="-4"/>
        </w:rPr>
        <w:t> </w:t>
      </w:r>
      <w:r>
        <w:rPr/>
        <w:t>synthèse.</w:t>
      </w:r>
    </w:p>
    <w:p>
      <w:pPr>
        <w:pStyle w:val="BodyText"/>
        <w:ind w:left="156" w:right="848"/>
        <w:jc w:val="both"/>
      </w:pPr>
      <w:r>
        <w:rPr/>
        <w:t>La</w:t>
      </w:r>
      <w:r>
        <w:rPr>
          <w:spacing w:val="-9"/>
        </w:rPr>
        <w:t> </w:t>
      </w:r>
      <w:r>
        <w:rPr/>
        <w:t>société</w:t>
      </w:r>
      <w:r>
        <w:rPr>
          <w:spacing w:val="-9"/>
        </w:rPr>
        <w:t> </w:t>
      </w:r>
      <w:r>
        <w:rPr/>
        <w:t>offre</w:t>
      </w:r>
      <w:r>
        <w:rPr>
          <w:spacing w:val="-8"/>
        </w:rPr>
        <w:t> </w:t>
      </w:r>
      <w:r>
        <w:rPr/>
        <w:t>à</w:t>
      </w:r>
      <w:r>
        <w:rPr>
          <w:spacing w:val="-9"/>
        </w:rPr>
        <w:t> </w:t>
      </w:r>
      <w:r>
        <w:rPr/>
        <w:t>ses</w:t>
      </w:r>
      <w:r>
        <w:rPr>
          <w:spacing w:val="-8"/>
        </w:rPr>
        <w:t> </w:t>
      </w:r>
      <w:r>
        <w:rPr/>
        <w:t>clients</w:t>
      </w:r>
      <w:r>
        <w:rPr>
          <w:spacing w:val="-8"/>
        </w:rPr>
        <w:t> </w:t>
      </w:r>
      <w:r>
        <w:rPr/>
        <w:t>des</w:t>
      </w:r>
      <w:r>
        <w:rPr>
          <w:spacing w:val="-8"/>
        </w:rPr>
        <w:t> </w:t>
      </w:r>
      <w:r>
        <w:rPr/>
        <w:t>technologies</w:t>
      </w:r>
      <w:r>
        <w:rPr>
          <w:spacing w:val="-8"/>
        </w:rPr>
        <w:t> </w:t>
      </w:r>
      <w:r>
        <w:rPr/>
        <w:t>uniques</w:t>
      </w:r>
      <w:r>
        <w:rPr>
          <w:spacing w:val="-7"/>
        </w:rPr>
        <w:t> </w:t>
      </w:r>
      <w:r>
        <w:rPr/>
        <w:t>adaptées</w:t>
      </w:r>
      <w:r>
        <w:rPr>
          <w:spacing w:val="-8"/>
        </w:rPr>
        <w:t> </w:t>
      </w:r>
      <w:r>
        <w:rPr/>
        <w:t>à</w:t>
      </w:r>
      <w:r>
        <w:rPr>
          <w:spacing w:val="-9"/>
        </w:rPr>
        <w:t> </w:t>
      </w:r>
      <w:r>
        <w:rPr/>
        <w:t>leurs</w:t>
      </w:r>
      <w:r>
        <w:rPr>
          <w:spacing w:val="-7"/>
        </w:rPr>
        <w:t> </w:t>
      </w:r>
      <w:r>
        <w:rPr/>
        <w:t>applications</w:t>
      </w:r>
      <w:r>
        <w:rPr>
          <w:spacing w:val="-9"/>
        </w:rPr>
        <w:t> </w:t>
      </w:r>
      <w:r>
        <w:rPr/>
        <w:t>spécifiques</w:t>
      </w:r>
      <w:r>
        <w:rPr>
          <w:spacing w:val="-8"/>
        </w:rPr>
        <w:t> </w:t>
      </w:r>
      <w:r>
        <w:rPr/>
        <w:t>sous</w:t>
      </w:r>
      <w:r>
        <w:rPr>
          <w:spacing w:val="-8"/>
        </w:rPr>
        <w:t> </w:t>
      </w:r>
      <w:r>
        <w:rPr/>
        <w:t>la forme de prestation de service et d'accords de licence. ALGENTECH, soutenue par BPI France, a été financée par Scientipôle IDF Capital et les réseaux de Business Angels, BADGE, Hedera et Investessor. </w:t>
      </w:r>
      <w:r>
        <w:rPr>
          <w:color w:val="0000FF"/>
          <w:u w:val="single" w:color="0000FF"/>
        </w:rPr>
        <w:t>https://algentech.com/</w:t>
      </w:r>
    </w:p>
    <w:p>
      <w:pPr>
        <w:pStyle w:val="BodyText"/>
        <w:rPr>
          <w:sz w:val="20"/>
        </w:rPr>
      </w:pPr>
    </w:p>
    <w:p>
      <w:pPr>
        <w:pStyle w:val="BodyText"/>
        <w:spacing w:before="7"/>
        <w:rPr>
          <w:sz w:val="15"/>
        </w:rPr>
      </w:pPr>
    </w:p>
    <w:p>
      <w:pPr>
        <w:spacing w:before="101"/>
        <w:ind w:left="156" w:right="0" w:firstLine="0"/>
        <w:jc w:val="both"/>
        <w:rPr>
          <w:b/>
          <w:sz w:val="22"/>
        </w:rPr>
      </w:pPr>
      <w:r>
        <w:rPr>
          <w:b/>
          <w:color w:val="006699"/>
          <w:sz w:val="22"/>
          <w:u w:val="single" w:color="006699"/>
        </w:rPr>
        <w:t>A propos de Genopole</w:t>
      </w:r>
    </w:p>
    <w:p>
      <w:pPr>
        <w:pStyle w:val="BodyText"/>
        <w:ind w:left="156" w:right="844"/>
        <w:jc w:val="both"/>
      </w:pPr>
      <w:r>
        <w:rPr/>
        <w:t>Biocluster</w:t>
      </w:r>
      <w:r>
        <w:rPr>
          <w:spacing w:val="-6"/>
        </w:rPr>
        <w:t> </w:t>
      </w:r>
      <w:r>
        <w:rPr/>
        <w:t>français</w:t>
      </w:r>
      <w:r>
        <w:rPr>
          <w:spacing w:val="-5"/>
        </w:rPr>
        <w:t> </w:t>
      </w:r>
      <w:r>
        <w:rPr/>
        <w:t>dédié</w:t>
      </w:r>
      <w:r>
        <w:rPr>
          <w:spacing w:val="-5"/>
        </w:rPr>
        <w:t> </w:t>
      </w:r>
      <w:r>
        <w:rPr/>
        <w:t>à</w:t>
      </w:r>
      <w:r>
        <w:rPr>
          <w:spacing w:val="-5"/>
        </w:rPr>
        <w:t> </w:t>
      </w:r>
      <w:r>
        <w:rPr/>
        <w:t>la</w:t>
      </w:r>
      <w:r>
        <w:rPr>
          <w:spacing w:val="-5"/>
        </w:rPr>
        <w:t> </w:t>
      </w:r>
      <w:r>
        <w:rPr/>
        <w:t>recherche</w:t>
      </w:r>
      <w:r>
        <w:rPr>
          <w:spacing w:val="-6"/>
        </w:rPr>
        <w:t> </w:t>
      </w:r>
      <w:r>
        <w:rPr/>
        <w:t>en</w:t>
      </w:r>
      <w:r>
        <w:rPr>
          <w:spacing w:val="-5"/>
        </w:rPr>
        <w:t> </w:t>
      </w:r>
      <w:r>
        <w:rPr/>
        <w:t>génétique</w:t>
      </w:r>
      <w:r>
        <w:rPr>
          <w:spacing w:val="-5"/>
        </w:rPr>
        <w:t> </w:t>
      </w:r>
      <w:r>
        <w:rPr/>
        <w:t>et</w:t>
      </w:r>
      <w:r>
        <w:rPr>
          <w:spacing w:val="-5"/>
        </w:rPr>
        <w:t> </w:t>
      </w:r>
      <w:r>
        <w:rPr/>
        <w:t>aux</w:t>
      </w:r>
      <w:r>
        <w:rPr>
          <w:spacing w:val="-5"/>
        </w:rPr>
        <w:t> </w:t>
      </w:r>
      <w:r>
        <w:rPr/>
        <w:t>biotechnologies</w:t>
      </w:r>
      <w:r>
        <w:rPr>
          <w:spacing w:val="-6"/>
        </w:rPr>
        <w:t> </w:t>
      </w:r>
      <w:r>
        <w:rPr/>
        <w:t>appliquées</w:t>
      </w:r>
      <w:r>
        <w:rPr>
          <w:spacing w:val="-5"/>
        </w:rPr>
        <w:t> </w:t>
      </w:r>
      <w:r>
        <w:rPr/>
        <w:t>à</w:t>
      </w:r>
      <w:r>
        <w:rPr>
          <w:spacing w:val="-5"/>
        </w:rPr>
        <w:t> </w:t>
      </w:r>
      <w:r>
        <w:rPr/>
        <w:t>la</w:t>
      </w:r>
      <w:r>
        <w:rPr>
          <w:spacing w:val="-5"/>
        </w:rPr>
        <w:t> </w:t>
      </w:r>
      <w:r>
        <w:rPr/>
        <w:t>santé</w:t>
      </w:r>
      <w:r>
        <w:rPr>
          <w:spacing w:val="-5"/>
        </w:rPr>
        <w:t> </w:t>
      </w:r>
      <w:r>
        <w:rPr/>
        <w:t>et</w:t>
      </w:r>
      <w:r>
        <w:rPr>
          <w:spacing w:val="-6"/>
        </w:rPr>
        <w:t> </w:t>
      </w:r>
      <w:r>
        <w:rPr/>
        <w:t>à l’environnement, Genopole rassemble 96 entreprises de biotechnologies, 16 laboratoires de recherche,</w:t>
      </w:r>
      <w:r>
        <w:rPr>
          <w:spacing w:val="-8"/>
        </w:rPr>
        <w:t> </w:t>
      </w:r>
      <w:r>
        <w:rPr/>
        <w:t>29</w:t>
      </w:r>
      <w:r>
        <w:rPr>
          <w:spacing w:val="-7"/>
        </w:rPr>
        <w:t> </w:t>
      </w:r>
      <w:r>
        <w:rPr/>
        <w:t>plates-formes</w:t>
      </w:r>
      <w:r>
        <w:rPr>
          <w:spacing w:val="-8"/>
        </w:rPr>
        <w:t> </w:t>
      </w:r>
      <w:r>
        <w:rPr/>
        <w:t>technologiques,</w:t>
      </w:r>
      <w:r>
        <w:rPr>
          <w:spacing w:val="-7"/>
        </w:rPr>
        <w:t> </w:t>
      </w:r>
      <w:r>
        <w:rPr/>
        <w:t>ainsi</w:t>
      </w:r>
      <w:r>
        <w:rPr>
          <w:spacing w:val="-8"/>
        </w:rPr>
        <w:t> </w:t>
      </w:r>
      <w:r>
        <w:rPr/>
        <w:t>que</w:t>
      </w:r>
      <w:r>
        <w:rPr>
          <w:spacing w:val="-7"/>
        </w:rPr>
        <w:t> </w:t>
      </w:r>
      <w:r>
        <w:rPr/>
        <w:t>des</w:t>
      </w:r>
      <w:r>
        <w:rPr>
          <w:spacing w:val="-8"/>
        </w:rPr>
        <w:t> </w:t>
      </w:r>
      <w:r>
        <w:rPr/>
        <w:t>formations</w:t>
      </w:r>
      <w:r>
        <w:rPr>
          <w:spacing w:val="-7"/>
        </w:rPr>
        <w:t> </w:t>
      </w:r>
      <w:r>
        <w:rPr/>
        <w:t>universitaires</w:t>
      </w:r>
      <w:r>
        <w:rPr>
          <w:spacing w:val="-7"/>
        </w:rPr>
        <w:t> </w:t>
      </w:r>
      <w:r>
        <w:rPr/>
        <w:t>(université</w:t>
      </w:r>
      <w:r>
        <w:rPr>
          <w:spacing w:val="-8"/>
        </w:rPr>
        <w:t> </w:t>
      </w:r>
      <w:r>
        <w:rPr/>
        <w:t>d’Evry Paris-Saclay). Son objectif : créer et soutenir des entreprises de biotechnologie et le transfert de technologies vers le secteur industriel, favoriser le développement de la recherche dans les sciences de la vie, développer des enseignements de haut niveau dans ces domaines. Genopole est principalement soutenu par l’Etat, la Région Ile-de-France, le Département de l’Essonne, l’agglomération Grand Paris Sud, la Ville d’Evry-Courcouronnes et</w:t>
      </w:r>
      <w:r>
        <w:rPr>
          <w:spacing w:val="-16"/>
        </w:rPr>
        <w:t> </w:t>
      </w:r>
      <w:r>
        <w:rPr/>
        <w:t>l’AFM-Téléthon.</w:t>
      </w:r>
    </w:p>
    <w:p>
      <w:pPr>
        <w:pStyle w:val="BodyText"/>
        <w:spacing w:before="2"/>
        <w:ind w:left="156"/>
      </w:pPr>
      <w:hyperlink r:id="rId10">
        <w:r>
          <w:rPr>
            <w:color w:val="0000FF"/>
            <w:u w:val="single" w:color="0000FF"/>
          </w:rPr>
          <w:t>www.genopole.fr</w:t>
        </w:r>
      </w:hyperlink>
    </w:p>
    <w:sectPr>
      <w:pgSz w:w="11900" w:h="16840"/>
      <w:pgMar w:top="1340" w:bottom="280" w:left="126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2"/>
      <w:szCs w:val="22"/>
    </w:rPr>
  </w:style>
  <w:style w:styleId="Heading1" w:type="paragraph">
    <w:name w:val="Heading 1"/>
    <w:basedOn w:val="Normal"/>
    <w:uiPriority w:val="1"/>
    <w:qFormat/>
    <w:pPr>
      <w:spacing w:before="101"/>
      <w:ind w:left="156"/>
      <w:jc w:val="both"/>
      <w:outlineLvl w:val="1"/>
    </w:pPr>
    <w:rPr>
      <w:rFonts w:ascii="Calibri" w:hAnsi="Calibri" w:eastAsia="Calibri" w:cs="Calibri"/>
      <w:b/>
      <w:bCs/>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hyperlink" Target="mailto:veronique.leboulch@genopole.fr" TargetMode="External"/><Relationship Id="rId10" Type="http://schemas.openxmlformats.org/officeDocument/2006/relationships/hyperlink" Target="http://www.genopol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2020-01-24T10:52:57Z</dcterms:created>
  <dcterms:modified xsi:type="dcterms:W3CDTF">2020-01-24T10:52:57Z</dcterms:modified>
</cp:coreProperties>
</file>